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before="0" w:after="60"/>
      </w:pPr>
      <w:r>
        <w:rPr>
          <w:rFonts w:ascii="Arial" w:cs="Arial" w:eastAsia="Arial" w:hAnsi="Arial"/>
          <w:b/>
          <w:bCs/>
          <w:color w:val="1B3A6B"/>
          <w:sz w:val="36"/>
          <w:szCs w:val="36"/>
        </w:rPr>
        <w:t xml:space="preserve">Gebührenordnung der Core Unit Research Data Management (cRDM)</w:t>
      </w:r>
    </w:p>
    <w:p>
      <w:pPr>
        <w:spacing w:before="60" w:after="80"/>
      </w:pPr>
      <w:r>
        <w:rPr>
          <w:rFonts w:ascii="Arial" w:cs="Arial" w:eastAsia="Arial" w:hAnsi="Arial"/>
          <w:color w:val="2E75B6"/>
          <w:sz w:val="24"/>
          <w:szCs w:val="24"/>
        </w:rPr>
        <w:t xml:space="preserve">am IZKF, Universitätsklinikum Würzburg (UKW)</w:t>
      </w:r>
    </w:p>
    <w:p>
      <w:pPr>
        <w:spacing w:before="6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Gültig ab: Februar 2026  ·  Preise in €/Jahr  ·  Diese Gebührenordnung ist Teil der Nutzungsordnung (Abschnitt 13)</w:t>
      </w:r>
    </w:p>
    <w:p>
      <w:pPr>
        <w:pBdr>
          <w:bottom w:val="single" w:color="2E75B6" w:sz="8"/>
        </w:pBdr>
        <w:spacing w:before="60" w:after="240"/>
      </w:pPr>
    </w:p>
    <w:p>
      <w:pPr>
        <w:pStyle w:val="Heading2"/>
        <w:pBdr>
          <w:bottom w:val="single" w:color="2E75B6" w:sz="4"/>
        </w:pBdr>
        <w:spacing w:before="300" w:after="120"/>
      </w:pPr>
      <w:r>
        <w:rPr>
          <w:rFonts w:ascii="Arial" w:cs="Arial" w:eastAsia="Arial" w:hAnsi="Arial"/>
          <w:b/>
          <w:bCs/>
          <w:color w:val="1B3A6B"/>
          <w:sz w:val="26"/>
          <w:szCs w:val="26"/>
        </w:rPr>
        <w:t xml:space="preserve">Finanzierungsmodell</w:t>
      </w:r>
    </w:p>
    <w:p>
      <w:pPr>
        <w:spacing w:before="60" w:after="80"/>
      </w:pPr>
      <w:r>
        <w:rPr>
          <w:rFonts w:ascii="Arial" w:cs="Arial" w:eastAsia="Arial" w:hAnsi="Arial"/>
          <w:sz w:val="20"/>
          <w:szCs w:val="20"/>
        </w:rPr>
        <w:t xml:space="preserve">Die cRDM verfolgt ein hybrides Finanzierungsmodell aus institutioneller Grundfinanzierung, projektbezogener Kostenbeteiligung und zielgerichteten Entwicklungsmitteln. Die jährlichen Nutzungsentgelte richten sich nach Leistungsumfang und Speicherbedarf und decken Systemwartung, sicheren Speicher, Hosting (RZ/SMI) sowie Lizenz- und Personalkosten.</w:t>
      </w:r>
    </w:p>
    <w:p>
      <w:pPr>
        <w:pStyle w:val="Heading2"/>
        <w:pBdr>
          <w:bottom w:val="single" w:color="2E75B6" w:sz="4"/>
        </w:pBdr>
        <w:spacing w:before="300" w:after="120"/>
      </w:pPr>
      <w:r>
        <w:rPr>
          <w:rFonts w:ascii="Arial" w:cs="Arial" w:eastAsia="Arial" w:hAnsi="Arial"/>
          <w:b/>
          <w:bCs/>
          <w:color w:val="1B3A6B"/>
          <w:sz w:val="26"/>
          <w:szCs w:val="26"/>
        </w:rPr>
        <w:t xml:space="preserve">Servicepakete und Jahresgebühren</w:t>
      </w:r>
    </w:p>
    <w:p>
      <w:pPr>
        <w:spacing w:before="60"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200"/>
        <w:gridCol w:w="1420"/>
        <w:gridCol w:w="1420"/>
        <w:gridCol w:w="1520"/>
      </w:tblGrid>
      <w:tr>
        <w:trPr>
          <w:tblHeader/>
        </w:trPr>
        <w:tc>
          <w:tcPr>
            <w:tcW w:type="dxa" w:w="1800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1B3A6B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Paket</w:t>
            </w:r>
          </w:p>
        </w:tc>
        <w:tc>
          <w:tcPr>
            <w:tcW w:type="dxa" w:w="3200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1B3A6B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Leistungsumfang</w:t>
            </w:r>
          </w:p>
        </w:tc>
        <w:tc>
          <w:tcPr>
            <w:tcW w:type="dxa" w:w="1420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1B3A6B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 · 5 TB</w:t>
            </w:r>
          </w:p>
        </w:tc>
        <w:tc>
          <w:tcPr>
            <w:tcW w:type="dxa" w:w="1420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1B3A6B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M · 10 TB</w:t>
            </w:r>
          </w:p>
        </w:tc>
        <w:tc>
          <w:tcPr>
            <w:tcW w:type="dxa" w:w="1520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1B3A6B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L · 20 TB</w:t>
            </w:r>
          </w:p>
        </w:tc>
      </w:tr>
      <w:tr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BF4FA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6B"/>
                <w:sz w:val="22"/>
                <w:szCs w:val="22"/>
              </w:rPr>
              <w:t xml:space="preserve">Basic</w:t>
            </w:r>
          </w:p>
        </w:tc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BF4FA" w:val="clear"/>
            <w:tcMar>
              <w:top w:type="dxa" w:w="90"/>
              <w:left w:type="dxa" w:w="14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Nextcloud-Speicher, Dateifreigabe, Versionierung, Basis-Support</w:t>
            </w:r>
          </w:p>
        </w:tc>
        <w:tc>
          <w:tcPr>
            <w:tcW w:type="dxa" w:w="14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1.500 €</w:t>
            </w:r>
          </w:p>
        </w:tc>
        <w:tc>
          <w:tcPr>
            <w:tcW w:type="dxa" w:w="14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2.000 €</w:t>
            </w:r>
          </w:p>
        </w:tc>
        <w:tc>
          <w:tcPr>
            <w:tcW w:type="dxa" w:w="1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3.000 €</w:t>
            </w:r>
          </w:p>
        </w:tc>
      </w:tr>
      <w:tr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5E8F0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6B"/>
                <w:sz w:val="22"/>
                <w:szCs w:val="22"/>
              </w:rPr>
              <w:t xml:space="preserve">Standard</w:t>
            </w:r>
          </w:p>
        </w:tc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5E8F0" w:val="clear"/>
            <w:tcMar>
              <w:top w:type="dxa" w:w="90"/>
              <w:left w:type="dxa" w:w="14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+ OnlyOffice-Kollaboration, gemeinsames Dokumentenbearbeiten in Echtzeit</w:t>
            </w:r>
          </w:p>
        </w:tc>
        <w:tc>
          <w:tcPr>
            <w:tcW w:type="dxa" w:w="14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3.500 €</w:t>
            </w:r>
          </w:p>
        </w:tc>
        <w:tc>
          <w:tcPr>
            <w:tcW w:type="dxa" w:w="14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4.000 €</w:t>
            </w:r>
          </w:p>
        </w:tc>
        <w:tc>
          <w:tcPr>
            <w:tcW w:type="dxa" w:w="1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5.000 €</w:t>
            </w:r>
          </w:p>
        </w:tc>
      </w:tr>
      <w:tr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Advanced</w:t>
            </w:r>
          </w:p>
        </w:tc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E75B6" w:val="clear"/>
            <w:tcMar>
              <w:top w:type="dxa" w:w="90"/>
              <w:left w:type="dxa" w:w="14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color w:val="FFFFFF"/>
                <w:sz w:val="20"/>
                <w:szCs w:val="20"/>
              </w:rPr>
              <w:t xml:space="preserve">+ 2× Training/Jahr, DMP-Erstellung &amp; -Pflege, FAIR-Audit, priorisierter Support, HPC auf Anfrage</w:t>
            </w:r>
          </w:p>
        </w:tc>
        <w:tc>
          <w:tcPr>
            <w:tcW w:type="dxa" w:w="14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B3A6B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8.500 €</w:t>
            </w:r>
          </w:p>
        </w:tc>
        <w:tc>
          <w:tcPr>
            <w:tcW w:type="dxa" w:w="14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B3A6B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9.000 €</w:t>
            </w:r>
          </w:p>
        </w:tc>
        <w:tc>
          <w:tcPr>
            <w:tcW w:type="dxa" w:w="1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B3A6B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10.000 €</w:t>
            </w:r>
          </w:p>
        </w:tc>
      </w:tr>
    </w:tbl>
    <w:p>
      <w:pPr>
        <w:spacing w:before="60" w:after="60"/>
      </w:pPr>
    </w:p>
    <w:p>
      <w:pPr>
        <w:pBdr>
          <w:left w:val="single" w:color="2E75B6" w:sz="10"/>
        </w:pBdr>
        <w:spacing w:before="60" w:after="80"/>
        <w:ind w:left="160"/>
      </w:pPr>
      <w:r>
        <w:rPr>
          <w:rFonts w:ascii="Arial" w:cs="Arial" w:eastAsia="Arial" w:hAnsi="Arial"/>
          <w:sz w:val="18"/>
          <w:szCs w:val="18"/>
        </w:rPr>
        <w:t xml:space="preserve">Speicher-Logik: einheitlich </w:t>
      </w:r>
      <w:r>
        <w:rPr>
          <w:rFonts w:ascii="Arial" w:cs="Arial" w:eastAsia="Arial" w:hAnsi="Arial"/>
          <w:b/>
          <w:bCs/>
          <w:color w:val="1B3A6B"/>
          <w:sz w:val="18"/>
          <w:szCs w:val="18"/>
        </w:rPr>
        <w:t xml:space="preserve">100 €/TB/Jahr</w:t>
      </w:r>
      <w:r>
        <w:rPr>
          <w:rFonts w:ascii="Arial" w:cs="Arial" w:eastAsia="Arial" w:hAnsi="Arial"/>
          <w:sz w:val="18"/>
          <w:szCs w:val="18"/>
        </w:rPr>
        <w:t xml:space="preserve"> in allen Paketen (Grundlage: RZ-Vollkosten 78 €/TB zzgl. Backup- und Support-Overhead).</w:t>
      </w:r>
      <w:r>
        <w:rPr>
          <w:rFonts w:ascii="Arial" w:cs="Arial" w:eastAsia="Arial" w:hAnsi="Arial"/>
          <w:sz w:val="18"/>
          <w:szCs w:val="18"/>
        </w:rPr>
        <w:t xml:space="preserve"> S (5 TB) → M (10 TB): +500 €  ·  M (10 TB) → L (20 TB): +1.000 €  ·  Advanced L = 10.000 € (Maximalpreis).</w:t>
      </w:r>
    </w:p>
    <w:p>
      <w:pPr>
        <w:spacing w:before="60" w:after="6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Zusätzlicher Speicher über die jeweilige Paketstufe hinaus: 100 €/TB/Jahr (gleiche Rate).</w:t>
      </w:r>
    </w:p>
    <w:p>
      <w:pPr>
        <w:pStyle w:val="Heading2"/>
        <w:pBdr>
          <w:bottom w:val="single" w:color="2E75B6" w:sz="4"/>
        </w:pBdr>
        <w:spacing w:before="300" w:after="120"/>
      </w:pPr>
      <w:r>
        <w:rPr>
          <w:rFonts w:ascii="Arial" w:cs="Arial" w:eastAsia="Arial" w:hAnsi="Arial"/>
          <w:b/>
          <w:bCs/>
          <w:color w:val="1B3A6B"/>
          <w:sz w:val="26"/>
          <w:szCs w:val="26"/>
        </w:rPr>
        <w:t xml:space="preserve">Das Advanced-Paket beinhaltet</w:t>
      </w:r>
    </w:p>
    <w:p>
      <w:pPr>
        <w:spacing w:before="50" w:after="50"/>
        <w:ind w:left="360" w:hanging="220"/>
      </w:pPr>
      <w:r>
        <w:rPr>
          <w:rFonts w:ascii="Arial" w:cs="Arial" w:eastAsia="Arial" w:hAnsi="Arial"/>
          <w:b/>
          <w:bCs/>
          <w:color w:val="2E75B6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2× Training / Onboarding pro Jahr (für neue Mitarbeitende)</w:t>
      </w:r>
    </w:p>
    <w:p>
      <w:pPr>
        <w:spacing w:before="50" w:after="50"/>
        <w:ind w:left="360" w:hanging="220"/>
      </w:pPr>
      <w:r>
        <w:rPr>
          <w:rFonts w:ascii="Arial" w:cs="Arial" w:eastAsia="Arial" w:hAnsi="Arial"/>
          <w:b/>
          <w:bCs/>
          <w:color w:val="2E75B6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DMP-Erstellung und laufende Pflege</w:t>
      </w:r>
    </w:p>
    <w:p>
      <w:pPr>
        <w:spacing w:before="50" w:after="50"/>
        <w:ind w:left="360" w:hanging="220"/>
      </w:pPr>
      <w:r>
        <w:rPr>
          <w:rFonts w:ascii="Arial" w:cs="Arial" w:eastAsia="Arial" w:hAnsi="Arial"/>
          <w:b/>
          <w:bCs/>
          <w:color w:val="2E75B6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FAIR-Compliance-Prüfung</w:t>
      </w:r>
    </w:p>
    <w:p>
      <w:pPr>
        <w:spacing w:before="50" w:after="50"/>
        <w:ind w:left="360" w:hanging="220"/>
      </w:pPr>
      <w:r>
        <w:rPr>
          <w:rFonts w:ascii="Arial" w:cs="Arial" w:eastAsia="Arial" w:hAnsi="Arial"/>
          <w:b/>
          <w:bCs/>
          <w:color w:val="2E75B6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Priorisierter Support und direkter Ansprechpartner</w:t>
      </w:r>
    </w:p>
    <w:p>
      <w:pPr>
        <w:spacing w:before="50" w:after="50"/>
        <w:ind w:left="360" w:hanging="220"/>
      </w:pPr>
      <w:r>
        <w:rPr>
          <w:rFonts w:ascii="Arial" w:cs="Arial" w:eastAsia="Arial" w:hAnsi="Arial"/>
          <w:b/>
          <w:bCs/>
          <w:color w:val="2E75B6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HPC / JupyterHub-Zugang auf Anfrage (via Bioinformatik, nach Verfügbarkeit)</w:t>
      </w:r>
    </w:p>
    <w:p>
      <w:pPr>
        <w:spacing w:before="60" w:after="60"/>
      </w:pPr>
    </w:p>
    <w:p>
      <w:pPr>
        <w:pBdr>
          <w:left w:val="single" w:color="2E75B6" w:sz="12"/>
        </w:pBdr>
        <w:shd w:fill="EBF4FA" w:val="clear"/>
        <w:spacing w:before="60" w:after="80"/>
        <w:ind w:left="16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Beispiel: DECIDE (SFB 1583) — Advanced L (20 TB) = 10.000 €/Jahr</w:t>
      </w:r>
    </w:p>
    <w:p>
      <w:pPr>
        <w:pStyle w:val="Heading2"/>
        <w:pBdr>
          <w:bottom w:val="single" w:color="2E75B6" w:sz="4"/>
        </w:pBdr>
        <w:spacing w:before="300" w:after="120"/>
      </w:pPr>
      <w:r>
        <w:rPr>
          <w:rFonts w:ascii="Arial" w:cs="Arial" w:eastAsia="Arial" w:hAnsi="Arial"/>
          <w:b/>
          <w:bCs/>
          <w:color w:val="1B3A6B"/>
          <w:sz w:val="26"/>
          <w:szCs w:val="26"/>
        </w:rPr>
        <w:t xml:space="preserve">Abrechnung und Konditionen</w:t>
      </w:r>
    </w:p>
    <w:p>
      <w:pPr>
        <w:spacing w:before="50" w:after="50"/>
        <w:ind w:left="360" w:hanging="220"/>
      </w:pPr>
      <w:r>
        <w:rPr>
          <w:rFonts w:ascii="Arial" w:cs="Arial" w:eastAsia="Arial" w:hAnsi="Arial"/>
          <w:b/>
          <w:bCs/>
          <w:color w:val="2E75B6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Rechnungsstellung: jährlich zum 1. Januar</w:t>
      </w:r>
    </w:p>
    <w:p>
      <w:pPr>
        <w:spacing w:before="50" w:after="50"/>
        <w:ind w:left="360" w:hanging="220"/>
      </w:pPr>
      <w:r>
        <w:rPr>
          <w:rFonts w:ascii="Arial" w:cs="Arial" w:eastAsia="Arial" w:hAnsi="Arial"/>
          <w:b/>
          <w:bCs/>
          <w:color w:val="2E75B6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Interne UKW/JMU-Gruppen: Interne Leistungsverrechnung (ILV)</w:t>
      </w:r>
    </w:p>
    <w:p>
      <w:pPr>
        <w:spacing w:before="50" w:after="50"/>
        <w:ind w:left="360" w:hanging="220"/>
      </w:pPr>
      <w:r>
        <w:rPr>
          <w:rFonts w:ascii="Arial" w:cs="Arial" w:eastAsia="Arial" w:hAnsi="Arial"/>
          <w:b/>
          <w:bCs/>
          <w:color w:val="2E75B6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Externe Partner: formelle Rechnung gemäß §14 UStG</w:t>
      </w:r>
    </w:p>
    <w:p>
      <w:pPr>
        <w:spacing w:before="50" w:after="50"/>
        <w:ind w:left="360" w:hanging="220"/>
      </w:pPr>
      <w:r>
        <w:rPr>
          <w:rFonts w:ascii="Arial" w:cs="Arial" w:eastAsia="Arial" w:hAnsi="Arial"/>
          <w:b/>
          <w:bCs/>
          <w:color w:val="2E75B6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Paketwechsel: jährlich zum 1. Januar, Vorlauf mindestens 3 Monate</w:t>
      </w:r>
    </w:p>
    <w:p>
      <w:pPr>
        <w:spacing w:before="50" w:after="50"/>
        <w:ind w:left="360" w:hanging="220"/>
      </w:pPr>
      <w:r>
        <w:rPr>
          <w:rFonts w:ascii="Arial" w:cs="Arial" w:eastAsia="Arial" w:hAnsi="Arial"/>
          <w:b/>
          <w:bCs/>
          <w:color w:val="2E75B6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Gebührenänderungen werden mit mindestens 3 Monaten Vorlauf kommuniziert</w:t>
      </w:r>
    </w:p>
    <w:p>
      <w:pPr>
        <w:pBdr>
          <w:top w:val="single" w:color="2E75B6" w:sz="4"/>
        </w:pBdr>
        <w:spacing w:before="400" w:after="80"/>
      </w:pPr>
    </w:p>
    <w:p>
      <w:pPr>
        <w:jc w:val="center"/>
      </w:pPr>
      <w:r>
        <w:rPr>
          <w:rFonts w:ascii="Arial" w:cs="Arial" w:eastAsia="Arial" w:hAnsi="Arial"/>
          <w:color w:val="999999"/>
          <w:sz w:val="17"/>
          <w:szCs w:val="17"/>
        </w:rPr>
        <w:t xml:space="preserve">Core Unit Research Data Management (cRDM)  ·  IZKF, Universitätsklinikum Würzburg  ·  coreunitrdm@uni-wuerzburg.de</w:t>
      </w:r>
    </w:p>
    <w:sectPr>
      <w:headerReference w:type="default" r:id="rId6"/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75B6" w:sz="4"/>
      </w:pBdr>
      <w:spacing w:before="80"/>
    </w:pPr>
    <w:r>
      <w:rPr>
        <w:rFonts w:ascii="Arial" w:cs="Arial" w:eastAsia="Arial" w:hAnsi="Arial"/>
        <w:color w:val="999999"/>
        <w:sz w:val="16"/>
        <w:szCs w:val="16"/>
      </w:rPr>
      <w:t xml:space="preserve">Gültig ab: Februar 2026  ·  Preise in €/Jahr zzgl. gesetzl. MwSt.  ·  coreunitrdm@uni-wuerzburg.de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6"/>
      </w:pBdr>
      <w:spacing w:after="100"/>
    </w:pPr>
    <w:r>
      <w:rPr>
        <w:rFonts w:ascii="Arial" w:cs="Arial" w:eastAsia="Arial" w:hAnsi="Arial"/>
        <w:color w:val="999999"/>
        <w:sz w:val="18"/>
        <w:szCs w:val="18"/>
      </w:rPr>
      <w:t xml:space="preserve">Gebührenordnung der Core Unit Research Data Management (cRDM)  ·  IZKF, UKW Würzburg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0" w:after="60"/>
      <w:outlineLvl w:val="0"/>
    </w:pPr>
    <w:rPr>
      <w:rFonts w:ascii="Arial" w:cs="Arial" w:eastAsia="Arial" w:hAnsi="Arial"/>
      <w:b/>
      <w:bCs/>
      <w:color w:val="1B3A6B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20"/>
      <w:outlineLvl w:val="1"/>
    </w:pPr>
    <w:rPr>
      <w:rFonts w:ascii="Arial" w:cs="Arial" w:eastAsia="Arial" w:hAnsi="Arial"/>
      <w:b/>
      <w:bCs/>
      <w:color w:val="1B3A6B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2026-03-10T10:23:56.552Z</dcterms:created>
  <dcterms:modified xsi:type="dcterms:W3CDTF">2026-03-10T10:23:56.552Z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